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1388" w14:textId="6677B1B1" w:rsidR="009C78BD"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Teo Treloar</w:t>
      </w:r>
    </w:p>
    <w:p w14:paraId="32F07C9C" w14:textId="15AC6D29" w:rsidR="00EB5421" w:rsidRPr="006B128F" w:rsidRDefault="00D02B11" w:rsidP="00901315">
      <w:pPr>
        <w:spacing w:line="276" w:lineRule="auto"/>
        <w:rPr>
          <w:rFonts w:ascii="Avenir Book" w:hAnsi="Avenir Book"/>
          <w:sz w:val="22"/>
          <w:szCs w:val="22"/>
        </w:rPr>
      </w:pPr>
      <w:r>
        <w:rPr>
          <w:rFonts w:ascii="Avenir Book" w:hAnsi="Avenir Book"/>
          <w:sz w:val="22"/>
          <w:szCs w:val="22"/>
        </w:rPr>
        <w:t>b.</w:t>
      </w:r>
      <w:r w:rsidR="00EB5421" w:rsidRPr="006B128F">
        <w:rPr>
          <w:rFonts w:ascii="Avenir Book" w:hAnsi="Avenir Book"/>
          <w:sz w:val="22"/>
          <w:szCs w:val="22"/>
        </w:rPr>
        <w:t xml:space="preserve">1974, Sydney, Australia </w:t>
      </w:r>
    </w:p>
    <w:p w14:paraId="12FDE5AE" w14:textId="77777777" w:rsidR="00EB5421" w:rsidRPr="006B128F" w:rsidRDefault="00EB5421" w:rsidP="00901315">
      <w:pPr>
        <w:spacing w:line="276" w:lineRule="auto"/>
        <w:rPr>
          <w:rFonts w:ascii="Avenir Book" w:hAnsi="Avenir Book"/>
          <w:sz w:val="22"/>
          <w:szCs w:val="22"/>
        </w:rPr>
      </w:pPr>
    </w:p>
    <w:p w14:paraId="6F13DB94" w14:textId="004823CE" w:rsidR="00EB5421"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Qualifications</w:t>
      </w:r>
    </w:p>
    <w:p w14:paraId="7312D1AB" w14:textId="446F637A"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2006: Master of Visual Art, Sydney College of the Arts, New South Wales </w:t>
      </w:r>
    </w:p>
    <w:p w14:paraId="4B841A8E" w14:textId="340273C6"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2003: Bachelor of Visual Art (Honours, 1st Class), Sydney College of the Arts, New South Wales</w:t>
      </w:r>
    </w:p>
    <w:p w14:paraId="06A94F8B" w14:textId="77777777" w:rsidR="00EB5421" w:rsidRPr="006B128F" w:rsidRDefault="00EB5421" w:rsidP="00901315">
      <w:pPr>
        <w:spacing w:line="276" w:lineRule="auto"/>
        <w:rPr>
          <w:rFonts w:ascii="Avenir Book" w:hAnsi="Avenir Book"/>
          <w:sz w:val="22"/>
          <w:szCs w:val="22"/>
        </w:rPr>
      </w:pPr>
    </w:p>
    <w:p w14:paraId="639CAD0F" w14:textId="25D06A33" w:rsidR="00EB5421"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Grants and Awards</w:t>
      </w:r>
    </w:p>
    <w:p w14:paraId="255C8C26" w14:textId="4786E46B"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2023: Winner, Kedumba Drawing Award: The Kedumba Collection of Australian Drawing.</w:t>
      </w:r>
    </w:p>
    <w:p w14:paraId="4945D344" w14:textId="1CF5B810"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2022: NSW Government, Create NSW Visual Arts Commissioning Grant.</w:t>
      </w:r>
    </w:p>
    <w:p w14:paraId="61B53AB9" w14:textId="19A2F377"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2021: Winner, Waverly Art Prize: Drawing Award. Waverly Woollahra Art School.</w:t>
      </w:r>
    </w:p>
    <w:p w14:paraId="4BAB81A3" w14:textId="1B62D1CF"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2020: Winner, JADA Acquisitive Drawing Award, Grafton Regional Gallery.</w:t>
      </w:r>
    </w:p>
    <w:p w14:paraId="48A9D778" w14:textId="3917A0CE"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2012: Australia Council for the Arts, New Work Grant.</w:t>
      </w:r>
    </w:p>
    <w:p w14:paraId="1E4FB5BD" w14:textId="36BBF83A"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2005 – 2006: Australian Postgraduate Award, University of Sydney.</w:t>
      </w:r>
    </w:p>
    <w:p w14:paraId="7024CB71" w14:textId="77777777" w:rsidR="00EB5421" w:rsidRPr="006B128F" w:rsidRDefault="00EB5421" w:rsidP="00901315">
      <w:pPr>
        <w:spacing w:line="276" w:lineRule="auto"/>
        <w:rPr>
          <w:rFonts w:ascii="Avenir Book" w:hAnsi="Avenir Book"/>
          <w:sz w:val="22"/>
          <w:szCs w:val="22"/>
        </w:rPr>
      </w:pPr>
    </w:p>
    <w:p w14:paraId="125263DE" w14:textId="00366766" w:rsidR="00EB5421"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Selected Exhibitions</w:t>
      </w:r>
    </w:p>
    <w:p w14:paraId="5E9A64E9" w14:textId="6C493D4C" w:rsidR="00DE7AED" w:rsidRDefault="00DE7AED" w:rsidP="00901315">
      <w:pPr>
        <w:spacing w:line="276" w:lineRule="auto"/>
        <w:rPr>
          <w:rFonts w:ascii="Avenir Book" w:hAnsi="Avenir Book"/>
          <w:sz w:val="22"/>
          <w:szCs w:val="22"/>
        </w:rPr>
      </w:pPr>
      <w:r>
        <w:rPr>
          <w:rFonts w:ascii="Avenir Book" w:hAnsi="Avenir Book"/>
          <w:sz w:val="22"/>
          <w:szCs w:val="22"/>
        </w:rPr>
        <w:t>2025: Summer Curated, Olsen Gallery, Sydney, NSW</w:t>
      </w:r>
    </w:p>
    <w:p w14:paraId="0BEA3A3F" w14:textId="50C18AA8"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2025: A Void A Maze, Teo Treloar works 2005 - 2025, 5 April - 29 June, Wollongong Art Gallery, NSW</w:t>
      </w:r>
    </w:p>
    <w:p w14:paraId="49E6B791" w14:textId="1C1FC103"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2024: Detail: 07 March - 31 March, DRAWSPACE, Sydney, NSW.</w:t>
      </w:r>
    </w:p>
    <w:p w14:paraId="7F6A0FC8" w14:textId="093C473E"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2022: 30 November - 17 December. And Now, The Plague, Olsen Gallery, Sydney, NSW</w:t>
      </w:r>
    </w:p>
    <w:p w14:paraId="63238665" w14:textId="6885BD02"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2022: 17 September - 13 November. And Now, The Plague. Grafton Regional Gallery, Grafton NSW.</w:t>
      </w:r>
    </w:p>
    <w:p w14:paraId="27748A59" w14:textId="6DB0EB5D"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2019: The National 2019: New Australian Art, Museum of Contemporary Art Australia, Sydney. </w:t>
      </w:r>
    </w:p>
    <w:p w14:paraId="4BC3D116" w14:textId="0120083D"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2019: The Black Captain, Andrew Baker Art Dealer, Brisbane</w:t>
      </w:r>
    </w:p>
    <w:p w14:paraId="52A86625" w14:textId="44E8AC87"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2018: Fieldwork, ALASKA Projects, Sydney.</w:t>
      </w:r>
    </w:p>
    <w:p w14:paraId="00A6332F" w14:textId="2D2FA2DE"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2018: Couplings, Dominik Mersch, Sydney.</w:t>
      </w:r>
    </w:p>
    <w:p w14:paraId="2298A48B" w14:textId="1787EC34"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2017: How to Disappear Completely, Garage Rotterdam, The Netherlands </w:t>
      </w:r>
    </w:p>
    <w:p w14:paraId="2C15537D" w14:textId="547D3A4A"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2016: Dark Symmetries, PS Project Space, Amsterdam, The Netherlands </w:t>
      </w:r>
    </w:p>
    <w:p w14:paraId="69E720A2" w14:textId="633219F3"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2014: Fractured Beauty, Wollongong City Gallery, New South Wales </w:t>
      </w:r>
    </w:p>
    <w:p w14:paraId="467340BD" w14:textId="62DBCC14"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2012: Remarking remaking: contemporary Australian drawing connections, Blacktown Arts Centre, Sydney</w:t>
      </w:r>
    </w:p>
    <w:p w14:paraId="412BF012" w14:textId="77777777" w:rsidR="00EB5421" w:rsidRPr="006B128F" w:rsidRDefault="00EB5421" w:rsidP="00901315">
      <w:pPr>
        <w:spacing w:line="276" w:lineRule="auto"/>
        <w:rPr>
          <w:rFonts w:ascii="Avenir Book" w:hAnsi="Avenir Book"/>
          <w:sz w:val="22"/>
          <w:szCs w:val="22"/>
        </w:rPr>
      </w:pPr>
    </w:p>
    <w:p w14:paraId="6B3B5B45" w14:textId="4012E5DA" w:rsidR="00EB5421"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Award Exhibitions</w:t>
      </w:r>
    </w:p>
    <w:p w14:paraId="7392ADA5" w14:textId="675057C8"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lastRenderedPageBreak/>
        <w:t>2023: Winner, Kedumba Drawing Award, Kedumba Collection of Australian Drawing.</w:t>
      </w:r>
    </w:p>
    <w:p w14:paraId="299F62B6" w14:textId="5CCE0987"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2020: Winner, JADA Acquisitive Drawing Award,  Grafton Regional Gallery.</w:t>
      </w:r>
    </w:p>
    <w:p w14:paraId="621C7D5C" w14:textId="4E02CF0D"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2021: Winner. Waverley Art Prize Drawing Award, Waverley Woollahra Art School.</w:t>
      </w:r>
    </w:p>
    <w:p w14:paraId="3D6083B5" w14:textId="5E2F0C96"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2023: Finalist, The Dobell Prize for Drawing: National Art School, Sydney, NSW, Australia.</w:t>
      </w:r>
    </w:p>
    <w:p w14:paraId="16D4E09E" w14:textId="7345F759"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2022: Finalist, Hazelhurst Works on Paper Award. </w:t>
      </w:r>
    </w:p>
    <w:p w14:paraId="14CFDB8D" w14:textId="0E51CD84"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2017: Finalist, Adelaide Perry Drawing Prize, PLC Gallery, Sydney </w:t>
      </w:r>
    </w:p>
    <w:p w14:paraId="2B672BBD" w14:textId="19C3F9C6"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2015: Finalist, The Churchie National Emerging Art Prize, Griffith University Art Gallery, Brisbane </w:t>
      </w:r>
    </w:p>
    <w:p w14:paraId="65632CF4" w14:textId="6BC904A4"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2009: Finalist, Fauvette Loureiro Memorial Artists Travel Scholarship, Sydney College of the Arts</w:t>
      </w:r>
    </w:p>
    <w:p w14:paraId="783F4D51" w14:textId="674F6455"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2009: Finalist, Works on Paper Award, Hazelhurst Regional Gallery, New South Wales</w:t>
      </w:r>
    </w:p>
    <w:p w14:paraId="582E1519" w14:textId="10448866"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2008: Finalist, ABN Amro Art Awards, ABN Amro Building, Sydney</w:t>
      </w:r>
    </w:p>
    <w:p w14:paraId="71E4C756" w14:textId="77777777" w:rsidR="00EB5421" w:rsidRPr="006B128F" w:rsidRDefault="00EB5421" w:rsidP="00901315">
      <w:pPr>
        <w:spacing w:line="276" w:lineRule="auto"/>
        <w:rPr>
          <w:rFonts w:ascii="Avenir Book" w:hAnsi="Avenir Book"/>
          <w:sz w:val="22"/>
          <w:szCs w:val="22"/>
        </w:rPr>
      </w:pPr>
    </w:p>
    <w:p w14:paraId="132DD1EE" w14:textId="3933ABC5" w:rsidR="00EB5421"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Collections</w:t>
      </w:r>
    </w:p>
    <w:p w14:paraId="0018CE5C" w14:textId="2979CB5C"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Wollongong Art Gallery, Permanent Collection, Wollongong, NSW, Australia.</w:t>
      </w:r>
    </w:p>
    <w:p w14:paraId="75592F29" w14:textId="407B5021"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The Kedumba Collection of Australian Drawing.</w:t>
      </w:r>
    </w:p>
    <w:p w14:paraId="51A106D5" w14:textId="55BDD54F"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Jacaranda Drawing Award Collection, Grafton Regional Gallery, Grafton, NSW, Australia.</w:t>
      </w:r>
    </w:p>
    <w:p w14:paraId="12FC76D0" w14:textId="6EAD10F0"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Museum of Contemporary Art Australia, Permanent Collection, Sydney, NSW, Australia</w:t>
      </w:r>
    </w:p>
    <w:p w14:paraId="5177C56D" w14:textId="006FADD8"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National Gallery of Australia, Drawings and Prints, Permanent Collection, Canberra, ACT, Australia.</w:t>
      </w:r>
    </w:p>
    <w:p w14:paraId="6679B850" w14:textId="7ADDC920"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Artbank, Sydney, NSW, Australia.</w:t>
      </w:r>
    </w:p>
    <w:p w14:paraId="079DE1AE" w14:textId="77777777" w:rsidR="00EB5421" w:rsidRPr="006B128F" w:rsidRDefault="00EB5421" w:rsidP="00901315">
      <w:pPr>
        <w:spacing w:line="276" w:lineRule="auto"/>
        <w:rPr>
          <w:rFonts w:ascii="Avenir Book" w:hAnsi="Avenir Book"/>
          <w:sz w:val="22"/>
          <w:szCs w:val="22"/>
        </w:rPr>
      </w:pPr>
    </w:p>
    <w:p w14:paraId="217DB948" w14:textId="77777777" w:rsidR="0035423C" w:rsidRPr="006B128F" w:rsidRDefault="0035423C" w:rsidP="00901315">
      <w:pPr>
        <w:spacing w:line="276" w:lineRule="auto"/>
        <w:rPr>
          <w:rFonts w:ascii="Avenir Book" w:hAnsi="Avenir Book"/>
          <w:sz w:val="22"/>
          <w:szCs w:val="22"/>
        </w:rPr>
      </w:pPr>
    </w:p>
    <w:p w14:paraId="20C83EBA" w14:textId="42EE1E92" w:rsidR="00EB5421" w:rsidRPr="006B128F" w:rsidRDefault="00EB5421" w:rsidP="00901315">
      <w:pPr>
        <w:spacing w:line="276" w:lineRule="auto"/>
        <w:rPr>
          <w:rFonts w:ascii="Avenir Book" w:hAnsi="Avenir Book"/>
          <w:b/>
          <w:bCs/>
          <w:sz w:val="22"/>
          <w:szCs w:val="22"/>
        </w:rPr>
      </w:pPr>
      <w:r w:rsidRPr="006B128F">
        <w:rPr>
          <w:rFonts w:ascii="Avenir Book" w:hAnsi="Avenir Book"/>
          <w:b/>
          <w:bCs/>
          <w:sz w:val="22"/>
          <w:szCs w:val="22"/>
        </w:rPr>
        <w:t>Selected Bibliography</w:t>
      </w:r>
    </w:p>
    <w:p w14:paraId="36D74A3F" w14:textId="404A7631"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2023: Australian Art Collector #102 OCT - DEC 2022,  Profile by Daniel Mudie Cunningham. Pg 158 - 161.</w:t>
      </w:r>
    </w:p>
    <w:p w14:paraId="28E36568" w14:textId="5F030D05" w:rsidR="00EB5421" w:rsidRPr="006B128F" w:rsidRDefault="00EB5421" w:rsidP="00901315">
      <w:pPr>
        <w:spacing w:after="240" w:line="276" w:lineRule="auto"/>
        <w:rPr>
          <w:rFonts w:ascii="Avenir Book" w:hAnsi="Avenir Book"/>
          <w:sz w:val="22"/>
          <w:szCs w:val="22"/>
        </w:rPr>
      </w:pPr>
      <w:r w:rsidRPr="006B128F">
        <w:rPr>
          <w:rFonts w:ascii="Avenir Book" w:hAnsi="Avenir Book"/>
          <w:sz w:val="22"/>
          <w:szCs w:val="22"/>
        </w:rPr>
        <w:t>2023: The Dobell Drawing Prize, Review by John McDonald, The Sydney Morning Herald, The Age. 01/05/23</w:t>
      </w:r>
    </w:p>
    <w:p w14:paraId="6C5EE2EA" w14:textId="13175415" w:rsidR="00EB5421" w:rsidRPr="00A5715D" w:rsidRDefault="00EB5421" w:rsidP="00901315">
      <w:pPr>
        <w:spacing w:after="240" w:line="276" w:lineRule="auto"/>
        <w:ind w:left="720"/>
        <w:rPr>
          <w:rFonts w:ascii="Avenir Book" w:hAnsi="Avenir Book"/>
          <w:i/>
          <w:iCs/>
          <w:sz w:val="21"/>
          <w:szCs w:val="21"/>
        </w:rPr>
      </w:pPr>
      <w:r w:rsidRPr="00A5715D">
        <w:rPr>
          <w:rFonts w:ascii="Avenir Book" w:hAnsi="Avenir Book"/>
          <w:i/>
          <w:iCs/>
          <w:sz w:val="21"/>
          <w:szCs w:val="21"/>
        </w:rPr>
        <w:t xml:space="preserve">Treloar’s The Plague is one of the simplest and smallest drawings on display, but it carries a lot of weight. During the COVID-19 lockdowns, there were many people, self incuded, who took Camus’s great novel of 1947 down off the shelf. Treloar says he has acquired 35 separate editions. One of them must be the same as my copy, with the lurid Michael Ayrton dustjacket, but it was important for this work that the artist drew the plain early Penguin edition. This careful drawing of a worn paperback, on a densely cross-hatched field of grey, conveys a feeling of isolation, such as many people experienced during the lockdowns. One source of relief was through reading, </w:t>
      </w:r>
      <w:r w:rsidRPr="00A5715D">
        <w:rPr>
          <w:rFonts w:ascii="Avenir Book" w:hAnsi="Avenir Book"/>
          <w:i/>
          <w:iCs/>
          <w:sz w:val="21"/>
          <w:szCs w:val="21"/>
        </w:rPr>
        <w:lastRenderedPageBreak/>
        <w:t>particularly books such as The Plague that seemed to relate in a very deep way to our contemporary experiences. In both reading and drawing, Treloar seems to be saying, there lies an antidote to the chronic state of distraction in which most of us live our daily lives.</w:t>
      </w:r>
    </w:p>
    <w:p w14:paraId="6D0B0680" w14:textId="0F342884" w:rsidR="00EB5421" w:rsidRPr="006B128F" w:rsidRDefault="00EB5421" w:rsidP="00901315">
      <w:pPr>
        <w:spacing w:after="240" w:line="276" w:lineRule="auto"/>
        <w:rPr>
          <w:rFonts w:ascii="Avenir Book" w:hAnsi="Avenir Book"/>
          <w:sz w:val="22"/>
          <w:szCs w:val="22"/>
        </w:rPr>
      </w:pPr>
      <w:r w:rsidRPr="006B128F">
        <w:rPr>
          <w:rFonts w:ascii="Avenir Book" w:hAnsi="Avenir Book"/>
          <w:sz w:val="22"/>
          <w:szCs w:val="22"/>
        </w:rPr>
        <w:t>2023: The Dobell Drawing Prize, Review by Christopher Allen, The Australian.</w:t>
      </w:r>
    </w:p>
    <w:p w14:paraId="5B055402" w14:textId="77777777" w:rsidR="00EB5421" w:rsidRPr="00A5715D" w:rsidRDefault="00EB5421" w:rsidP="00901315">
      <w:pPr>
        <w:spacing w:after="240" w:line="276" w:lineRule="auto"/>
        <w:ind w:left="720"/>
        <w:rPr>
          <w:rFonts w:ascii="Avenir Book" w:hAnsi="Avenir Book"/>
          <w:i/>
          <w:iCs/>
          <w:sz w:val="21"/>
          <w:szCs w:val="21"/>
        </w:rPr>
      </w:pPr>
      <w:r w:rsidRPr="00A5715D">
        <w:rPr>
          <w:rFonts w:ascii="Avenir Book" w:hAnsi="Avenir Book"/>
          <w:i/>
          <w:iCs/>
          <w:sz w:val="21"/>
          <w:szCs w:val="21"/>
        </w:rPr>
        <w:t>But of all the drawings that remain in the mind and float back up to the surface of memory days after viewing the exhibition, I should especially mention Teo Treloar’s drawing of the Penguin edition of Albert Camus’s The Plague (1947); the quiet but absolute care with which every detail of the book and its background have been rendered in graphite pencil, an inherently slow and patient medium, is like an analogue of the attention of reading itself.</w:t>
      </w:r>
    </w:p>
    <w:p w14:paraId="15C2BD7D" w14:textId="62270DE8" w:rsidR="00EB5421" w:rsidRPr="006B128F" w:rsidRDefault="00EB5421" w:rsidP="00901315">
      <w:pPr>
        <w:spacing w:after="240" w:line="276" w:lineRule="auto"/>
        <w:rPr>
          <w:rFonts w:ascii="Avenir Book" w:hAnsi="Avenir Book"/>
          <w:sz w:val="22"/>
          <w:szCs w:val="22"/>
        </w:rPr>
      </w:pPr>
      <w:r w:rsidRPr="006B128F">
        <w:rPr>
          <w:rFonts w:ascii="Avenir Book" w:hAnsi="Avenir Book"/>
          <w:sz w:val="22"/>
          <w:szCs w:val="22"/>
        </w:rPr>
        <w:t>2019: The National, New Australian Art, Review by Erin McFadyen. Artist Profile.</w:t>
      </w:r>
    </w:p>
    <w:p w14:paraId="000C5DBE" w14:textId="0F4D5BC5" w:rsidR="00EB5421" w:rsidRPr="00A5715D" w:rsidRDefault="00EB5421" w:rsidP="00901315">
      <w:pPr>
        <w:spacing w:line="276" w:lineRule="auto"/>
        <w:ind w:left="720"/>
        <w:rPr>
          <w:rFonts w:ascii="Avenir Book" w:hAnsi="Avenir Book"/>
          <w:i/>
          <w:iCs/>
          <w:sz w:val="21"/>
          <w:szCs w:val="21"/>
        </w:rPr>
      </w:pPr>
      <w:r w:rsidRPr="00A5715D">
        <w:rPr>
          <w:rFonts w:ascii="Avenir Book" w:hAnsi="Avenir Book"/>
          <w:i/>
          <w:iCs/>
          <w:sz w:val="21"/>
          <w:szCs w:val="21"/>
        </w:rPr>
        <w:t>It’s refreshing here to see drawings by Teo Treloar that take up the aesthetic of earlier Modernism. Treloar’s work, running across several wall spaces, gives us flat planar shapes in perspectively ambiguous space, looking Surreal at times and Constructivist at others. Treloar uses this drawing practice to reflect on personal experiences of mental health, and to throw a spanner at the cliché of the tortured (male) genius artist.</w:t>
      </w:r>
    </w:p>
    <w:p w14:paraId="22430974" w14:textId="0BAABB1E" w:rsidR="00EB5421" w:rsidRPr="005E4FF1" w:rsidRDefault="005E4FF1" w:rsidP="00901315">
      <w:pPr>
        <w:spacing w:line="276" w:lineRule="auto"/>
        <w:rPr>
          <w:rFonts w:ascii="Avenir Book" w:hAnsi="Avenir Book"/>
          <w:color w:val="000000" w:themeColor="text1"/>
          <w:sz w:val="22"/>
          <w:szCs w:val="22"/>
        </w:rPr>
      </w:pPr>
      <w:hyperlink r:id="rId6" w:history="1">
        <w:r w:rsidRPr="005E4FF1">
          <w:rPr>
            <w:rStyle w:val="Hyperlink"/>
            <w:rFonts w:ascii="Avenir Book" w:hAnsi="Avenir Book"/>
            <w:color w:val="000000" w:themeColor="text1"/>
            <w:sz w:val="22"/>
            <w:szCs w:val="22"/>
          </w:rPr>
          <w:t>https://artistprofile.com.au/the-national-new-australian-art/</w:t>
        </w:r>
      </w:hyperlink>
    </w:p>
    <w:p w14:paraId="1F60CBC1" w14:textId="77777777" w:rsidR="005E4FF1" w:rsidRPr="006B128F" w:rsidRDefault="005E4FF1" w:rsidP="00901315">
      <w:pPr>
        <w:spacing w:line="276" w:lineRule="auto"/>
        <w:rPr>
          <w:rFonts w:ascii="Avenir Book" w:hAnsi="Avenir Book"/>
          <w:sz w:val="22"/>
          <w:szCs w:val="22"/>
        </w:rPr>
      </w:pPr>
    </w:p>
    <w:p w14:paraId="08B92297" w14:textId="25C649EB" w:rsidR="00EB5421" w:rsidRPr="006B128F" w:rsidRDefault="00EB5421" w:rsidP="00901315">
      <w:pPr>
        <w:spacing w:after="240" w:line="276" w:lineRule="auto"/>
        <w:rPr>
          <w:rFonts w:ascii="Avenir Book" w:hAnsi="Avenir Book"/>
          <w:sz w:val="22"/>
          <w:szCs w:val="22"/>
        </w:rPr>
      </w:pPr>
      <w:r w:rsidRPr="006B128F">
        <w:rPr>
          <w:rFonts w:ascii="Avenir Book" w:hAnsi="Avenir Book"/>
          <w:sz w:val="22"/>
          <w:szCs w:val="22"/>
        </w:rPr>
        <w:t>2019: The National, new Australian Art, Review by Craig Judd, Artlink Magazine.</w:t>
      </w:r>
    </w:p>
    <w:p w14:paraId="1A9D92E6" w14:textId="1DC893C8" w:rsidR="00EB5421" w:rsidRPr="00A5715D" w:rsidRDefault="00EB5421" w:rsidP="00901315">
      <w:pPr>
        <w:spacing w:line="276" w:lineRule="auto"/>
        <w:ind w:left="720"/>
        <w:rPr>
          <w:rFonts w:ascii="Avenir Book" w:hAnsi="Avenir Book"/>
          <w:i/>
          <w:iCs/>
          <w:sz w:val="21"/>
          <w:szCs w:val="21"/>
        </w:rPr>
      </w:pPr>
      <w:r w:rsidRPr="00A5715D">
        <w:rPr>
          <w:rFonts w:ascii="Avenir Book" w:hAnsi="Avenir Book"/>
          <w:i/>
          <w:iCs/>
          <w:sz w:val="21"/>
          <w:szCs w:val="21"/>
        </w:rPr>
        <w:t>in The Black Captain Teo Treloar re</w:t>
      </w:r>
      <w:r w:rsidRPr="00A5715D">
        <w:rPr>
          <w:rFonts w:ascii="Cambria Math" w:hAnsi="Cambria Math" w:cs="Cambria Math"/>
          <w:i/>
          <w:iCs/>
          <w:sz w:val="21"/>
          <w:szCs w:val="21"/>
        </w:rPr>
        <w:t>‑</w:t>
      </w:r>
      <w:r w:rsidRPr="00A5715D">
        <w:rPr>
          <w:rFonts w:ascii="Avenir Book" w:hAnsi="Avenir Book"/>
          <w:i/>
          <w:iCs/>
          <w:sz w:val="21"/>
          <w:szCs w:val="21"/>
        </w:rPr>
        <w:t>purposes motifs from Albrecht Durer’s Melancholia (1514) for the 21st century in a series of meticulous and extraordinarily detailed pencil drawings. Rather than an androgynous angel with an epic case of thwarted creativity, the classic writers block, Treloar employs the figure of a middle</w:t>
      </w:r>
      <w:r w:rsidRPr="00A5715D">
        <w:rPr>
          <w:rFonts w:ascii="Cambria Math" w:hAnsi="Cambria Math" w:cs="Cambria Math"/>
          <w:i/>
          <w:iCs/>
          <w:sz w:val="21"/>
          <w:szCs w:val="21"/>
        </w:rPr>
        <w:t>‑</w:t>
      </w:r>
      <w:r w:rsidRPr="00A5715D">
        <w:rPr>
          <w:rFonts w:ascii="Avenir Book" w:hAnsi="Avenir Book"/>
          <w:i/>
          <w:iCs/>
          <w:sz w:val="21"/>
          <w:szCs w:val="21"/>
        </w:rPr>
        <w:t>aged businessman with a white shirt and encroaching paunch to search the dimensions of visual reality. He is locked into a nightmarish Moebius strip of imagination, creation and distillation. There is no way out and no languages to redeem this landscape of infinite pointless production that is neither representational illusionism nor abstraction.</w:t>
      </w:r>
    </w:p>
    <w:p w14:paraId="284D14F4" w14:textId="32DA10E3" w:rsidR="00EB5421" w:rsidRPr="006B128F" w:rsidRDefault="00EB5421" w:rsidP="00901315">
      <w:pPr>
        <w:spacing w:after="240" w:line="276" w:lineRule="auto"/>
        <w:rPr>
          <w:rFonts w:ascii="Avenir Book" w:hAnsi="Avenir Book"/>
          <w:sz w:val="22"/>
          <w:szCs w:val="22"/>
        </w:rPr>
      </w:pPr>
      <w:r w:rsidRPr="006B128F">
        <w:rPr>
          <w:rFonts w:ascii="Avenir Book" w:hAnsi="Avenir Book"/>
          <w:sz w:val="22"/>
          <w:szCs w:val="22"/>
        </w:rPr>
        <w:t>https://www.artlink.com.au/articles/4754/the-national-2019-new-australian-art/</w:t>
      </w:r>
    </w:p>
    <w:p w14:paraId="47C750FF" w14:textId="64DEF6CB"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 xml:space="preserve">2019: Domonic Kavanagh, Teo Treloar, The National: New Australian </w:t>
      </w:r>
      <w:r w:rsidR="005E4FF1" w:rsidRPr="006B128F">
        <w:rPr>
          <w:rFonts w:ascii="Avenir Book" w:hAnsi="Avenir Book"/>
          <w:sz w:val="22"/>
          <w:szCs w:val="22"/>
        </w:rPr>
        <w:t>Art, Pg</w:t>
      </w:r>
      <w:r w:rsidRPr="006B128F">
        <w:rPr>
          <w:rFonts w:ascii="Avenir Book" w:hAnsi="Avenir Book"/>
          <w:sz w:val="22"/>
          <w:szCs w:val="22"/>
        </w:rPr>
        <w:t xml:space="preserve"> 153 / 154, </w:t>
      </w:r>
    </w:p>
    <w:p w14:paraId="4346323C" w14:textId="407A3E42"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The Museum of Contemporary Art, Carriage Works, Art Gallery of NSW.</w:t>
      </w:r>
    </w:p>
    <w:p w14:paraId="2064FA27" w14:textId="58AEC274"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2019: Daniel Mudie Cunningham, MOP Projects, 2003 – 2016, The Science, pg 172, Formist Editions.</w:t>
      </w:r>
    </w:p>
    <w:p w14:paraId="34164C56" w14:textId="0341860B"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lastRenderedPageBreak/>
        <w:t>2019: FAUVETTE, Teo Treloar, pg 84 – 85, Sydney College of the Arts, The University of Sydney.</w:t>
      </w:r>
    </w:p>
    <w:p w14:paraId="55BC04CD" w14:textId="0F85D0E0"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2019: The National, 2019: Art Gallery of NSW, Carriageworks, and Museum of Contemporary Art Australia, Sydney, 2019.</w:t>
      </w:r>
    </w:p>
    <w:p w14:paraId="0BC78CC6" w14:textId="2876F0DC"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2014: Louise Brand. Fractured Beauty [ex. cat.], Wollongong City Gallery, 2014.</w:t>
      </w:r>
    </w:p>
    <w:p w14:paraId="4B6A0205" w14:textId="618E3AE9"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2012: Björn Hegardt, Fukt Magazine for Contemporary Drawing, Issue 11, Germany, 2012</w:t>
      </w:r>
    </w:p>
    <w:p w14:paraId="59F0E47F" w14:textId="3CDC5442" w:rsidR="00EB5421" w:rsidRPr="006B128F" w:rsidRDefault="00EB5421" w:rsidP="00901315">
      <w:pPr>
        <w:spacing w:line="276" w:lineRule="auto"/>
        <w:rPr>
          <w:rFonts w:ascii="Avenir Book" w:hAnsi="Avenir Book"/>
          <w:sz w:val="22"/>
          <w:szCs w:val="22"/>
        </w:rPr>
      </w:pPr>
      <w:r w:rsidRPr="006B128F">
        <w:rPr>
          <w:rFonts w:ascii="Avenir Book" w:hAnsi="Avenir Book"/>
          <w:sz w:val="22"/>
          <w:szCs w:val="22"/>
        </w:rPr>
        <w:t>https://www.fuktmagazine.com/#/fukt-11/</w:t>
      </w:r>
    </w:p>
    <w:sectPr w:rsidR="00EB5421" w:rsidRPr="006B128F" w:rsidSect="00EB5421">
      <w:footerReference w:type="default" r:id="rId7"/>
      <w:pgSz w:w="11906" w:h="16838"/>
      <w:pgMar w:top="1440" w:right="1440" w:bottom="1440" w:left="1440" w:header="289" w:footer="2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BD48" w14:textId="77777777" w:rsidR="00034531" w:rsidRDefault="00034531" w:rsidP="00EB5421">
      <w:r>
        <w:separator/>
      </w:r>
    </w:p>
  </w:endnote>
  <w:endnote w:type="continuationSeparator" w:id="0">
    <w:p w14:paraId="01610C00" w14:textId="77777777" w:rsidR="00034531" w:rsidRDefault="00034531" w:rsidP="00EB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51F8" w14:textId="04184F93" w:rsidR="00EB5421" w:rsidRDefault="00EB5421">
    <w:pPr>
      <w:pStyle w:val="Footer"/>
    </w:pPr>
    <w:r>
      <w:rPr>
        <w:noProof/>
      </w:rPr>
      <w:drawing>
        <wp:anchor distT="0" distB="0" distL="114300" distR="114300" simplePos="0" relativeHeight="251659264" behindDoc="0" locked="0" layoutInCell="1" allowOverlap="1" wp14:anchorId="33B173E0" wp14:editId="39B71811">
          <wp:simplePos x="0" y="0"/>
          <wp:positionH relativeFrom="column">
            <wp:posOffset>0</wp:posOffset>
          </wp:positionH>
          <wp:positionV relativeFrom="paragraph">
            <wp:posOffset>182880</wp:posOffset>
          </wp:positionV>
          <wp:extent cx="1830705" cy="1397000"/>
          <wp:effectExtent l="0" t="0" r="0" b="0"/>
          <wp:wrapTight wrapText="bothSides">
            <wp:wrapPolygon edited="0">
              <wp:start x="0" y="0"/>
              <wp:lineTo x="0" y="21207"/>
              <wp:lineTo x="21278" y="21207"/>
              <wp:lineTo x="21278" y="0"/>
              <wp:lineTo x="0" y="0"/>
            </wp:wrapPolygon>
          </wp:wrapTight>
          <wp:docPr id="1" name="Picture 2" descr="Description: Lacie:A. ADMINISTRATION:OLSEN rebrand:Screen Shot 2016-11-01 at 2.37.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acie:A. ADMINISTRATION:OLSEN rebrand:Screen Shot 2016-11-01 at 2.37.05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705" cy="1397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3A2C" w14:textId="77777777" w:rsidR="00034531" w:rsidRDefault="00034531" w:rsidP="00EB5421">
      <w:r>
        <w:separator/>
      </w:r>
    </w:p>
  </w:footnote>
  <w:footnote w:type="continuationSeparator" w:id="0">
    <w:p w14:paraId="1AE14A94" w14:textId="77777777" w:rsidR="00034531" w:rsidRDefault="00034531" w:rsidP="00EB5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21"/>
    <w:rsid w:val="00034531"/>
    <w:rsid w:val="00173A3D"/>
    <w:rsid w:val="0035423C"/>
    <w:rsid w:val="004720BE"/>
    <w:rsid w:val="004B2F91"/>
    <w:rsid w:val="005E1474"/>
    <w:rsid w:val="005E377E"/>
    <w:rsid w:val="005E4FF1"/>
    <w:rsid w:val="006B128F"/>
    <w:rsid w:val="00765135"/>
    <w:rsid w:val="00901315"/>
    <w:rsid w:val="009C78BD"/>
    <w:rsid w:val="00A5715D"/>
    <w:rsid w:val="00D02B11"/>
    <w:rsid w:val="00DE7AED"/>
    <w:rsid w:val="00EB54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6848E22"/>
  <w15:chartTrackingRefBased/>
  <w15:docId w15:val="{10A754B9-CFE5-2B45-A331-9375991D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4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4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4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4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421"/>
    <w:rPr>
      <w:rFonts w:eastAsiaTheme="majorEastAsia" w:cstheme="majorBidi"/>
      <w:color w:val="272727" w:themeColor="text1" w:themeTint="D8"/>
    </w:rPr>
  </w:style>
  <w:style w:type="paragraph" w:styleId="Title">
    <w:name w:val="Title"/>
    <w:basedOn w:val="Normal"/>
    <w:next w:val="Normal"/>
    <w:link w:val="TitleChar"/>
    <w:uiPriority w:val="10"/>
    <w:qFormat/>
    <w:rsid w:val="00EB54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4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4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421"/>
    <w:rPr>
      <w:i/>
      <w:iCs/>
      <w:color w:val="404040" w:themeColor="text1" w:themeTint="BF"/>
    </w:rPr>
  </w:style>
  <w:style w:type="paragraph" w:styleId="ListParagraph">
    <w:name w:val="List Paragraph"/>
    <w:basedOn w:val="Normal"/>
    <w:uiPriority w:val="34"/>
    <w:qFormat/>
    <w:rsid w:val="00EB5421"/>
    <w:pPr>
      <w:ind w:left="720"/>
      <w:contextualSpacing/>
    </w:pPr>
  </w:style>
  <w:style w:type="character" w:styleId="IntenseEmphasis">
    <w:name w:val="Intense Emphasis"/>
    <w:basedOn w:val="DefaultParagraphFont"/>
    <w:uiPriority w:val="21"/>
    <w:qFormat/>
    <w:rsid w:val="00EB5421"/>
    <w:rPr>
      <w:i/>
      <w:iCs/>
      <w:color w:val="0F4761" w:themeColor="accent1" w:themeShade="BF"/>
    </w:rPr>
  </w:style>
  <w:style w:type="paragraph" w:styleId="IntenseQuote">
    <w:name w:val="Intense Quote"/>
    <w:basedOn w:val="Normal"/>
    <w:next w:val="Normal"/>
    <w:link w:val="IntenseQuoteChar"/>
    <w:uiPriority w:val="30"/>
    <w:qFormat/>
    <w:rsid w:val="00EB5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421"/>
    <w:rPr>
      <w:i/>
      <w:iCs/>
      <w:color w:val="0F4761" w:themeColor="accent1" w:themeShade="BF"/>
    </w:rPr>
  </w:style>
  <w:style w:type="character" w:styleId="IntenseReference">
    <w:name w:val="Intense Reference"/>
    <w:basedOn w:val="DefaultParagraphFont"/>
    <w:uiPriority w:val="32"/>
    <w:qFormat/>
    <w:rsid w:val="00EB5421"/>
    <w:rPr>
      <w:b/>
      <w:bCs/>
      <w:smallCaps/>
      <w:color w:val="0F4761" w:themeColor="accent1" w:themeShade="BF"/>
      <w:spacing w:val="5"/>
    </w:rPr>
  </w:style>
  <w:style w:type="paragraph" w:styleId="Header">
    <w:name w:val="header"/>
    <w:basedOn w:val="Normal"/>
    <w:link w:val="HeaderChar"/>
    <w:uiPriority w:val="99"/>
    <w:unhideWhenUsed/>
    <w:rsid w:val="00EB5421"/>
    <w:pPr>
      <w:tabs>
        <w:tab w:val="center" w:pos="4513"/>
        <w:tab w:val="right" w:pos="9026"/>
      </w:tabs>
    </w:pPr>
  </w:style>
  <w:style w:type="character" w:customStyle="1" w:styleId="HeaderChar">
    <w:name w:val="Header Char"/>
    <w:basedOn w:val="DefaultParagraphFont"/>
    <w:link w:val="Header"/>
    <w:uiPriority w:val="99"/>
    <w:rsid w:val="00EB5421"/>
  </w:style>
  <w:style w:type="paragraph" w:styleId="Footer">
    <w:name w:val="footer"/>
    <w:basedOn w:val="Normal"/>
    <w:link w:val="FooterChar"/>
    <w:uiPriority w:val="99"/>
    <w:unhideWhenUsed/>
    <w:rsid w:val="00EB5421"/>
    <w:pPr>
      <w:tabs>
        <w:tab w:val="center" w:pos="4513"/>
        <w:tab w:val="right" w:pos="9026"/>
      </w:tabs>
    </w:pPr>
  </w:style>
  <w:style w:type="character" w:customStyle="1" w:styleId="FooterChar">
    <w:name w:val="Footer Char"/>
    <w:basedOn w:val="DefaultParagraphFont"/>
    <w:link w:val="Footer"/>
    <w:uiPriority w:val="99"/>
    <w:rsid w:val="00EB5421"/>
  </w:style>
  <w:style w:type="character" w:styleId="Hyperlink">
    <w:name w:val="Hyperlink"/>
    <w:basedOn w:val="DefaultParagraphFont"/>
    <w:uiPriority w:val="99"/>
    <w:unhideWhenUsed/>
    <w:rsid w:val="005E4FF1"/>
    <w:rPr>
      <w:color w:val="467886" w:themeColor="hyperlink"/>
      <w:u w:val="single"/>
    </w:rPr>
  </w:style>
  <w:style w:type="character" w:styleId="UnresolvedMention">
    <w:name w:val="Unresolved Mention"/>
    <w:basedOn w:val="DefaultParagraphFont"/>
    <w:uiPriority w:val="99"/>
    <w:semiHidden/>
    <w:unhideWhenUsed/>
    <w:rsid w:val="005E4FF1"/>
    <w:rPr>
      <w:color w:val="605E5C"/>
      <w:shd w:val="clear" w:color="auto" w:fill="E1DFDD"/>
    </w:rPr>
  </w:style>
  <w:style w:type="character" w:styleId="FollowedHyperlink">
    <w:name w:val="FollowedHyperlink"/>
    <w:basedOn w:val="DefaultParagraphFont"/>
    <w:uiPriority w:val="99"/>
    <w:semiHidden/>
    <w:unhideWhenUsed/>
    <w:rsid w:val="00A571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tistprofile.com.au/the-national-new-australian-ar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Arent</dc:creator>
  <cp:keywords/>
  <dc:description/>
  <cp:lastModifiedBy>Katrina Arent</cp:lastModifiedBy>
  <cp:revision>10</cp:revision>
  <dcterms:created xsi:type="dcterms:W3CDTF">2025-09-13T01:26:00Z</dcterms:created>
  <dcterms:modified xsi:type="dcterms:W3CDTF">2026-01-13T05:53:00Z</dcterms:modified>
</cp:coreProperties>
</file>